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9C" w:rsidRDefault="002C199C" w:rsidP="002C199C">
      <w:pPr>
        <w:ind w:firstLine="720"/>
        <w:rPr>
          <w:bCs/>
        </w:rPr>
      </w:pPr>
      <w:r>
        <w:rPr>
          <w:bCs/>
        </w:rPr>
        <w:t xml:space="preserve">As part of its responsibility in implementing the goals stated by NAWMP, joint ventures are developing habitat goals that are biologically linked to the breeding population goals.  Ultimately, these goals are to be expressed as an amount of habitat that needs to be protected, enhanced or restored in the ACJV area in order to contribute to achieving NAWMP waterfowl population objectives at the regional and continental scales.  At this time there is no consensus on how migratory or wintering waterfowl populations and habitat relate to the breeding objectives of NAWMP.  The NAWMP National Science Support Team (NSST) has therefore recommended an interim method that uses a combination of MWS and harvest data to proportionally allocate the continental objectives between the various joint ventures.  An evaluation of these methods indicates that this allocation works reasonably well for most duck species (exceptions include: Mottled Duck, whistling-ducks, Blue-winged Teal and Wood Ducks) but not for geese in general (M. </w:t>
      </w:r>
      <w:proofErr w:type="spellStart"/>
      <w:r>
        <w:rPr>
          <w:bCs/>
        </w:rPr>
        <w:t>Koneff</w:t>
      </w:r>
      <w:proofErr w:type="spellEnd"/>
      <w:r>
        <w:rPr>
          <w:bCs/>
        </w:rPr>
        <w:t>, pers. comm.).</w:t>
      </w:r>
    </w:p>
    <w:p w:rsidR="002C199C" w:rsidRDefault="002C199C" w:rsidP="002C199C">
      <w:pPr>
        <w:ind w:firstLine="360"/>
        <w:rPr>
          <w:bCs/>
        </w:rPr>
      </w:pPr>
    </w:p>
    <w:p w:rsidR="002C199C" w:rsidRDefault="002C199C" w:rsidP="002C199C">
      <w:pPr>
        <w:ind w:firstLine="720"/>
        <w:rPr>
          <w:bCs/>
        </w:rPr>
      </w:pPr>
      <w:r>
        <w:rPr>
          <w:bCs/>
        </w:rPr>
        <w:t xml:space="preserve">Implicit in such an endeavor is the assumption that local or regional actions are hierarchical in nature and can be aggregated to, in this case, a larger spatial scale.  Although intuitive, there is no clear consensus on the functional form of such a relationship.  In the absence of a clear analytical solution to the problem, the NSST reviewed alternative approaches and reached consensus in November 2003.  As the official technical advisory committee of NAWMP, the NSST recommendations are being followed by non-breeding joint ventures in </w:t>
      </w:r>
      <w:smartTag w:uri="urn:schemas-microsoft-com:office:smarttags" w:element="place">
        <w:r>
          <w:rPr>
            <w:bCs/>
          </w:rPr>
          <w:t>North America</w:t>
        </w:r>
      </w:smartTag>
      <w:r>
        <w:rPr>
          <w:bCs/>
        </w:rPr>
        <w:t>.  The method being recommended by the NSST is a three-step approach that allows non-breeding joint ventures to “step-down” the continental population goals into regional goals that can be used for planning habitat delivery programs.  The NSST recommends that these numbers not be used as a performance metric per se, but only for baseline planning purposes.  As such the first step of the process is to determine the proportion of the continental population goals a joint venture might be responsible for over-wintering.  The second step is to explicitly state the assumptions being made as to the regional requirements of waterfowl, resource availability and assess trends of the resource.  Lastly, joint ventures need to evaluate the validity of the assumptions made in the second step.</w:t>
      </w:r>
    </w:p>
    <w:p w:rsidR="002C199C" w:rsidRDefault="002C199C" w:rsidP="002C199C">
      <w:pPr>
        <w:ind w:firstLine="360"/>
        <w:rPr>
          <w:bCs/>
        </w:rPr>
      </w:pPr>
    </w:p>
    <w:p w:rsidR="002C199C" w:rsidRDefault="002C199C" w:rsidP="002C199C">
      <w:pPr>
        <w:ind w:firstLine="720"/>
        <w:rPr>
          <w:bCs/>
        </w:rPr>
      </w:pPr>
      <w:r>
        <w:rPr>
          <w:bCs/>
        </w:rPr>
        <w:t>The NSST recommendations only concern the first of this process: determination of the proportional allocation of continental objectives to the regional scale.  The NSST is advocating the use of MWS and county level, species specific harvest data as a reasonable first approximation of the wintering distribution of waterfowl.  It was noted that use of this approach incorporates all the potential biases that have been identified regarding the MWS data (</w:t>
      </w:r>
      <w:proofErr w:type="spellStart"/>
      <w:r>
        <w:rPr>
          <w:bCs/>
        </w:rPr>
        <w:t>Heusmann</w:t>
      </w:r>
      <w:proofErr w:type="spellEnd"/>
      <w:r>
        <w:rPr>
          <w:bCs/>
        </w:rPr>
        <w:t xml:space="preserve">, </w:t>
      </w:r>
      <w:proofErr w:type="spellStart"/>
      <w:r>
        <w:rPr>
          <w:bCs/>
        </w:rPr>
        <w:t>Eggemann</w:t>
      </w:r>
      <w:proofErr w:type="spellEnd"/>
      <w:r>
        <w:rPr>
          <w:bCs/>
        </w:rPr>
        <w:t xml:space="preserve"> and other citations here).  Although there are local data sets that might overcome some of these limitations, there is no other data set that covers the entire joint venture that could be used as a surrogate.  Likewise, the county-level harvest data contain their own biases but lack of an alternate surrogate argues in favor of their use.</w:t>
      </w:r>
    </w:p>
    <w:p w:rsidR="002C199C" w:rsidRDefault="002C199C" w:rsidP="002C199C">
      <w:pPr>
        <w:ind w:firstLine="360"/>
        <w:rPr>
          <w:bCs/>
        </w:rPr>
      </w:pPr>
    </w:p>
    <w:p w:rsidR="002C199C" w:rsidRDefault="002C199C" w:rsidP="002C199C">
      <w:r>
        <w:tab/>
        <w:t xml:space="preserve">The ACJV </w:t>
      </w:r>
      <w:proofErr w:type="spellStart"/>
      <w:r>
        <w:t>Gamebird</w:t>
      </w:r>
      <w:proofErr w:type="spellEnd"/>
      <w:r>
        <w:t xml:space="preserve"> Technical endorsed moving forward with setting state-level population goals for the ACJV using the county-level harvest data.  Steps to calculate ACJV waterfowl population goals from Parts Collection Survey data</w:t>
      </w:r>
    </w:p>
    <w:p w:rsidR="002C199C" w:rsidRDefault="002C199C" w:rsidP="002C199C"/>
    <w:p w:rsidR="002C199C" w:rsidRDefault="002C199C" w:rsidP="002C199C">
      <w:pPr>
        <w:pStyle w:val="ListParagraph"/>
        <w:numPr>
          <w:ilvl w:val="0"/>
          <w:numId w:val="1"/>
        </w:numPr>
      </w:pPr>
      <w:r>
        <w:t>Acquired county level harvest data from Harvest Survey Branch in Laurel, MD.  These data contain adjusted weights representing total harvest for each day in a given year.</w:t>
      </w:r>
    </w:p>
    <w:p w:rsidR="002C199C" w:rsidRDefault="002C199C" w:rsidP="002C199C">
      <w:pPr>
        <w:pStyle w:val="ListParagraph"/>
        <w:numPr>
          <w:ilvl w:val="0"/>
          <w:numId w:val="1"/>
        </w:numPr>
      </w:pPr>
      <w:r>
        <w:lastRenderedPageBreak/>
        <w:t>Adjusted weights are added together within the specified time period (fall, winter or full season) to give estimate of total harvest for each species for each of the ten years in the data set.  Result is a county level estimate of harvest for each of ten years (maximum n).  See example at end.</w:t>
      </w:r>
    </w:p>
    <w:p w:rsidR="002C199C" w:rsidRDefault="002C199C" w:rsidP="002C199C">
      <w:pPr>
        <w:pStyle w:val="ListParagraph"/>
        <w:numPr>
          <w:ilvl w:val="0"/>
          <w:numId w:val="1"/>
        </w:numPr>
      </w:pPr>
      <w:r>
        <w:t>Total US harvest is estimated by summing across all counties each species was harvested in for each year in the data set (again 10 estimates possible).  This becomes the denominator for step #4.</w:t>
      </w:r>
    </w:p>
    <w:p w:rsidR="002C199C" w:rsidRDefault="002C199C" w:rsidP="002C199C">
      <w:pPr>
        <w:pStyle w:val="ListParagraph"/>
        <w:numPr>
          <w:ilvl w:val="0"/>
          <w:numId w:val="1"/>
        </w:numPr>
      </w:pPr>
      <w:r>
        <w:t xml:space="preserve">The sums from step #2 (county level estimates) are divided by the total US harvest to give an estimate of the proportional harvest occurring in any county in a given year. </w:t>
      </w:r>
    </w:p>
    <w:p w:rsidR="002C199C" w:rsidRDefault="002C199C" w:rsidP="002C199C">
      <w:pPr>
        <w:pStyle w:val="ListParagraph"/>
        <w:numPr>
          <w:ilvl w:val="0"/>
          <w:numId w:val="1"/>
        </w:numPr>
      </w:pPr>
      <w:r>
        <w:t>These county level estimates of proportional harvest are multiplied by either the NAWMP 2004 continental population goal or continental population estimate to arrive at the population goal for any given county in any of the ten years.  Since the estimates vary across the 10 years, we can use this information to calculate confidence limits for our estimated population goals.  Some species, e.g., Ring-necked Duck do not have a population goal.  In these instances, the current continental population estimate is used to derive state population goals.</w:t>
      </w:r>
    </w:p>
    <w:p w:rsidR="002C199C" w:rsidRDefault="002C199C" w:rsidP="002C199C">
      <w:pPr>
        <w:pStyle w:val="ListParagraph"/>
        <w:numPr>
          <w:ilvl w:val="0"/>
          <w:numId w:val="1"/>
        </w:numPr>
      </w:pPr>
      <w:r>
        <w:t xml:space="preserve">County level population goals are summed within any given year to arrive at state goal.  </w:t>
      </w:r>
    </w:p>
    <w:p w:rsidR="002C199C" w:rsidRDefault="002C199C" w:rsidP="002C199C">
      <w:r>
        <w:t>Time period definitions:</w:t>
      </w:r>
    </w:p>
    <w:p w:rsidR="002C199C" w:rsidRDefault="002C199C" w:rsidP="002C199C">
      <w:pPr>
        <w:ind w:firstLine="720"/>
      </w:pPr>
      <w:r>
        <w:t>Fall – September through November (months 9 – 11 in dataset)</w:t>
      </w:r>
    </w:p>
    <w:p w:rsidR="002C199C" w:rsidRDefault="002C199C" w:rsidP="002C199C">
      <w:pPr>
        <w:ind w:firstLine="720"/>
      </w:pPr>
      <w:r>
        <w:t>Winter – December through end of season (months greater than or equal to 12)</w:t>
      </w:r>
    </w:p>
    <w:p w:rsidR="002C199C" w:rsidRDefault="002C199C" w:rsidP="002C199C">
      <w:pPr>
        <w:ind w:firstLine="720"/>
      </w:pPr>
      <w:r>
        <w:t>Full Season – all data</w:t>
      </w:r>
    </w:p>
    <w:p w:rsidR="002C199C" w:rsidRDefault="002C199C" w:rsidP="002C199C">
      <w:pPr>
        <w:ind w:firstLine="720"/>
      </w:pPr>
    </w:p>
    <w:p w:rsidR="002C199C" w:rsidRDefault="002C199C" w:rsidP="002C199C">
      <w:r>
        <w:t xml:space="preserve">The </w:t>
      </w:r>
      <w:proofErr w:type="spellStart"/>
      <w:r>
        <w:t>Gamebird</w:t>
      </w:r>
      <w:proofErr w:type="spellEnd"/>
      <w:r>
        <w:t xml:space="preserve"> Technical committee recommends use of the “Full Season” objectives, but notes there are cases where it is important to understand how population goals might be distributed seasonally.</w:t>
      </w:r>
    </w:p>
    <w:p w:rsidR="002C199C" w:rsidRDefault="002C199C" w:rsidP="002C199C">
      <w:pPr>
        <w:ind w:firstLine="720"/>
      </w:pPr>
    </w:p>
    <w:tbl>
      <w:tblPr>
        <w:tblW w:w="6320" w:type="dxa"/>
        <w:tblInd w:w="93" w:type="dxa"/>
        <w:tblLook w:val="04A0" w:firstRow="1" w:lastRow="0" w:firstColumn="1" w:lastColumn="0" w:noHBand="0" w:noVBand="1"/>
      </w:tblPr>
      <w:tblGrid>
        <w:gridCol w:w="3220"/>
        <w:gridCol w:w="962"/>
        <w:gridCol w:w="1175"/>
        <w:gridCol w:w="963"/>
      </w:tblGrid>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b/>
                <w:bCs/>
                <w:sz w:val="20"/>
                <w:szCs w:val="20"/>
              </w:rPr>
            </w:pPr>
            <w:r>
              <w:rPr>
                <w:rFonts w:ascii="MS Sans Serif" w:hAnsi="MS Sans Serif"/>
                <w:b/>
                <w:bCs/>
                <w:sz w:val="20"/>
                <w:szCs w:val="20"/>
              </w:rPr>
              <w:t>Species</w:t>
            </w:r>
          </w:p>
        </w:tc>
        <w:tc>
          <w:tcPr>
            <w:tcW w:w="3100" w:type="dxa"/>
            <w:gridSpan w:val="3"/>
            <w:tcBorders>
              <w:top w:val="nil"/>
              <w:left w:val="nil"/>
              <w:bottom w:val="nil"/>
              <w:right w:val="nil"/>
            </w:tcBorders>
            <w:shd w:val="clear" w:color="auto" w:fill="auto"/>
            <w:vAlign w:val="bottom"/>
            <w:hideMark/>
          </w:tcPr>
          <w:p w:rsidR="002C199C" w:rsidRDefault="002C199C">
            <w:pPr>
              <w:jc w:val="center"/>
              <w:rPr>
                <w:rFonts w:ascii="MS Sans Serif" w:hAnsi="MS Sans Serif"/>
                <w:b/>
                <w:bCs/>
                <w:color w:val="000000"/>
                <w:sz w:val="20"/>
                <w:szCs w:val="20"/>
              </w:rPr>
            </w:pPr>
            <w:r>
              <w:rPr>
                <w:rFonts w:ascii="MS Sans Serif" w:hAnsi="MS Sans Serif"/>
                <w:b/>
                <w:bCs/>
                <w:color w:val="000000"/>
                <w:sz w:val="20"/>
                <w:szCs w:val="20"/>
              </w:rPr>
              <w:t>Mean Population Goal</w:t>
            </w:r>
          </w:p>
        </w:tc>
      </w:tr>
      <w:tr w:rsidR="002C199C" w:rsidTr="002C199C">
        <w:trPr>
          <w:trHeight w:val="270"/>
        </w:trPr>
        <w:tc>
          <w:tcPr>
            <w:tcW w:w="3220" w:type="dxa"/>
            <w:tcBorders>
              <w:top w:val="nil"/>
              <w:left w:val="nil"/>
              <w:bottom w:val="single" w:sz="12" w:space="0" w:color="auto"/>
              <w:right w:val="nil"/>
            </w:tcBorders>
            <w:shd w:val="clear" w:color="auto" w:fill="auto"/>
            <w:noWrap/>
            <w:vAlign w:val="bottom"/>
            <w:hideMark/>
          </w:tcPr>
          <w:p w:rsidR="002C199C" w:rsidRDefault="002C199C">
            <w:pPr>
              <w:rPr>
                <w:rFonts w:ascii="MS Sans Serif" w:hAnsi="MS Sans Serif"/>
                <w:b/>
                <w:bCs/>
                <w:color w:val="000000"/>
                <w:sz w:val="20"/>
                <w:szCs w:val="20"/>
              </w:rPr>
            </w:pPr>
            <w:r>
              <w:rPr>
                <w:rFonts w:ascii="MS Sans Serif" w:hAnsi="MS Sans Serif"/>
                <w:b/>
                <w:bCs/>
                <w:color w:val="000000"/>
                <w:sz w:val="20"/>
                <w:szCs w:val="20"/>
              </w:rPr>
              <w:t> </w:t>
            </w:r>
          </w:p>
        </w:tc>
        <w:tc>
          <w:tcPr>
            <w:tcW w:w="962" w:type="dxa"/>
            <w:tcBorders>
              <w:top w:val="nil"/>
              <w:left w:val="nil"/>
              <w:bottom w:val="single" w:sz="12" w:space="0" w:color="auto"/>
              <w:right w:val="nil"/>
            </w:tcBorders>
            <w:shd w:val="clear" w:color="auto" w:fill="auto"/>
            <w:noWrap/>
            <w:vAlign w:val="bottom"/>
            <w:hideMark/>
          </w:tcPr>
          <w:p w:rsidR="002C199C" w:rsidRDefault="002C199C">
            <w:pPr>
              <w:rPr>
                <w:rFonts w:ascii="MS Sans Serif" w:hAnsi="MS Sans Serif"/>
                <w:b/>
                <w:bCs/>
                <w:sz w:val="20"/>
                <w:szCs w:val="20"/>
              </w:rPr>
            </w:pPr>
            <w:r>
              <w:rPr>
                <w:rFonts w:ascii="MS Sans Serif" w:hAnsi="MS Sans Serif"/>
                <w:b/>
                <w:bCs/>
                <w:sz w:val="20"/>
                <w:szCs w:val="20"/>
              </w:rPr>
              <w:t>Fall</w:t>
            </w:r>
          </w:p>
        </w:tc>
        <w:tc>
          <w:tcPr>
            <w:tcW w:w="1175" w:type="dxa"/>
            <w:tcBorders>
              <w:top w:val="nil"/>
              <w:left w:val="nil"/>
              <w:bottom w:val="single" w:sz="12" w:space="0" w:color="auto"/>
              <w:right w:val="nil"/>
            </w:tcBorders>
            <w:shd w:val="clear" w:color="auto" w:fill="auto"/>
            <w:noWrap/>
            <w:vAlign w:val="bottom"/>
            <w:hideMark/>
          </w:tcPr>
          <w:p w:rsidR="002C199C" w:rsidRDefault="002C199C">
            <w:pPr>
              <w:rPr>
                <w:rFonts w:ascii="MS Sans Serif" w:hAnsi="MS Sans Serif"/>
                <w:b/>
                <w:bCs/>
                <w:sz w:val="20"/>
                <w:szCs w:val="20"/>
              </w:rPr>
            </w:pPr>
            <w:r>
              <w:rPr>
                <w:rFonts w:ascii="MS Sans Serif" w:hAnsi="MS Sans Serif"/>
                <w:b/>
                <w:bCs/>
                <w:sz w:val="20"/>
                <w:szCs w:val="20"/>
              </w:rPr>
              <w:t>Winter</w:t>
            </w:r>
          </w:p>
        </w:tc>
        <w:tc>
          <w:tcPr>
            <w:tcW w:w="963" w:type="dxa"/>
            <w:tcBorders>
              <w:top w:val="nil"/>
              <w:left w:val="nil"/>
              <w:bottom w:val="single" w:sz="12" w:space="0" w:color="auto"/>
              <w:right w:val="nil"/>
            </w:tcBorders>
            <w:shd w:val="clear" w:color="auto" w:fill="auto"/>
            <w:noWrap/>
            <w:vAlign w:val="bottom"/>
            <w:hideMark/>
          </w:tcPr>
          <w:p w:rsidR="002C199C" w:rsidRDefault="002C199C">
            <w:pPr>
              <w:rPr>
                <w:rFonts w:ascii="MS Sans Serif" w:hAnsi="MS Sans Serif"/>
                <w:b/>
                <w:bCs/>
                <w:sz w:val="20"/>
                <w:szCs w:val="20"/>
              </w:rPr>
            </w:pPr>
            <w:r>
              <w:rPr>
                <w:rFonts w:ascii="MS Sans Serif" w:hAnsi="MS Sans Serif"/>
                <w:b/>
                <w:bCs/>
                <w:sz w:val="20"/>
                <w:szCs w:val="20"/>
              </w:rPr>
              <w:t>Full</w:t>
            </w:r>
          </w:p>
        </w:tc>
      </w:tr>
      <w:tr w:rsidR="002C199C" w:rsidTr="002C199C">
        <w:trPr>
          <w:trHeight w:val="270"/>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b/>
                <w:bCs/>
                <w:color w:val="000000"/>
                <w:sz w:val="20"/>
                <w:szCs w:val="20"/>
              </w:rPr>
            </w:pPr>
            <w:r>
              <w:rPr>
                <w:rFonts w:ascii="MS Sans Serif" w:hAnsi="MS Sans Serif"/>
                <w:b/>
                <w:bCs/>
                <w:color w:val="000000"/>
                <w:sz w:val="20"/>
                <w:szCs w:val="20"/>
              </w:rPr>
              <w:t>American Black Duck</w:t>
            </w: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Connecticut</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16,284</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29,241</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23,955</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Delaware</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26,268</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44,016</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36,749</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Florida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2,393</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1,140</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727</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Georgia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3,597</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4,725</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3,462</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Maine</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77,940</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22,988</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44,660</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Maryland</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55,853</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118,739</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93,903</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Massachusetts</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27,042</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24,508</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25,429</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New Hampshire</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16,338</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8,898</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11,807</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New Jersey</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83,436</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75,466</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78,083</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New York</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173,293</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116,952</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138,569</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North Carolina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3,097</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47,617</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28,946</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Pennsylvania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64,777</w:t>
            </w: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61,242</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Rhode Island</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5,653</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11,816</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9,341</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South Carolina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4,198</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12,019</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8,365</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Vermont</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28,792</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2,762</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13,099</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Virginia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29,522</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89,365</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65,148</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West Virginia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924</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3,610</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2,383</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b/>
                <w:bCs/>
                <w:sz w:val="20"/>
                <w:szCs w:val="20"/>
              </w:rPr>
            </w:pPr>
            <w:r>
              <w:rPr>
                <w:rFonts w:ascii="MS Sans Serif" w:hAnsi="MS Sans Serif"/>
                <w:b/>
                <w:bCs/>
                <w:sz w:val="20"/>
                <w:szCs w:val="20"/>
              </w:rPr>
              <w:lastRenderedPageBreak/>
              <w:t>American Green-winged Teal</w:t>
            </w: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Connecticut</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5,546</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1,051</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3,458</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Delaware</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44,461</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11,403</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30,362</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Florida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24,386</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62,509</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39,658</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Georgia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8,932</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21,589</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13,959</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Maine</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23,908</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435</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13,788</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Maryland</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67,251</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21,438</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47,164</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Massachusetts</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5,505</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602</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3,371</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New Hampshire</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4,175</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329</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2,455</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New Jersey</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35,312</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9,867</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24,417</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New York</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54,523</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3,003</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32,440</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North Carolina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39,958</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79,565</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56,144</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Pennsylvania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30,074</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2,763</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18,307</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Rhode Island</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857</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188</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528</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South Carolina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17,492</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73,758</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41,069</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Vermont</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10,711</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189</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6,064</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Virginia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14,519</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31,293</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21,523</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West Virginia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281</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427</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316</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b/>
                <w:bCs/>
                <w:sz w:val="20"/>
                <w:szCs w:val="20"/>
              </w:rPr>
            </w:pPr>
            <w:r>
              <w:rPr>
                <w:rFonts w:ascii="MS Sans Serif" w:hAnsi="MS Sans Serif"/>
                <w:b/>
                <w:bCs/>
                <w:sz w:val="20"/>
                <w:szCs w:val="20"/>
              </w:rPr>
              <w:t xml:space="preserve">American </w:t>
            </w:r>
            <w:proofErr w:type="spellStart"/>
            <w:r>
              <w:rPr>
                <w:rFonts w:ascii="MS Sans Serif" w:hAnsi="MS Sans Serif"/>
                <w:b/>
                <w:bCs/>
                <w:sz w:val="20"/>
                <w:szCs w:val="20"/>
              </w:rPr>
              <w:t>Wigeon</w:t>
            </w:r>
            <w:proofErr w:type="spellEnd"/>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Connecticut</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1,199</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2,420</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1,297</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Delaware</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4,476</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3,939</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4,112</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Florida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5,576</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18,298</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10,908</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Georgia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1,921</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7,463</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3,837</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Maine</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1,124</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634</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634</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Maryland</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17,302</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18,525</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17,362</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Massachusetts</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947</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457</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530</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New Hampshire</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306</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1,654</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267</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New Jersey</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2,760</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3,662</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2,997</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New York</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19,573</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3,756</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12,167</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North Carolina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15,229</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65,430</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35,898</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Pennsylvania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6,084</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1,377</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3,796</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Rhode Island</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588</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2,332</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1,175</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South Carolina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3,466</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24,866</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12,334</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Vermont</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1,082</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477</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620</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Virginia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4,863</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21,038</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10,981</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West Virginia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194</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644</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194</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b/>
                <w:bCs/>
                <w:sz w:val="20"/>
                <w:szCs w:val="20"/>
              </w:rPr>
            </w:pPr>
            <w:r>
              <w:rPr>
                <w:rFonts w:ascii="MS Sans Serif" w:hAnsi="MS Sans Serif"/>
                <w:b/>
                <w:bCs/>
                <w:sz w:val="20"/>
                <w:szCs w:val="20"/>
              </w:rPr>
              <w:t>Atlantic Brant</w:t>
            </w: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Connecticut</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6,316</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3,574</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3,663</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Delaware</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12,117</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9,829</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8,689</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Maryland</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4,044</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8,769</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7,472</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Massachusetts</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6,962</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4,715</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4,395</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New Jersey</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84,558</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39,526</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48,164</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New York</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46,697</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36,446</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39,379</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North Carolina</w:t>
            </w: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36,970</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29,565</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Pennsylvania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8,363</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0</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2,022</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Rhode Island</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2,774</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5,226</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4,449</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Vermont</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1,882</w:t>
            </w: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623</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Virginia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21,243</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32,159</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27,154</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b/>
                <w:bCs/>
                <w:sz w:val="20"/>
                <w:szCs w:val="20"/>
              </w:rPr>
            </w:pPr>
            <w:r>
              <w:rPr>
                <w:rFonts w:ascii="MS Sans Serif" w:hAnsi="MS Sans Serif"/>
                <w:b/>
                <w:bCs/>
                <w:sz w:val="20"/>
                <w:szCs w:val="20"/>
              </w:rPr>
              <w:t>Blue-winged/Cinnamon Teal</w:t>
            </w: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Connecticut</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531</w:t>
            </w: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463</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Delaware</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5,732</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4,106</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5,075</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Florida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188,144</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1,588,375</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404,591</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Georgia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32,284</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33,061</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31,476</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Maine</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4,708</w:t>
            </w: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3,937</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Maryland</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21,636</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10,631</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19,197</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Massachusetts</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603</w:t>
            </w: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498</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New Hampshire</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664</w:t>
            </w: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571</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New Jersey</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1,389</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3,528</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1,167</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New York</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12,348</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5,856</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10,436</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North Carolina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24,241</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19,454</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23,695</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Pennsylvania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8,665</w:t>
            </w: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7,344</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Rhode Island</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320</w:t>
            </w: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280</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South Carolina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36,205</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269,495</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68,669</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Vermont</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1,878</w:t>
            </w: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1,557</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Virginia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5,987</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12,124</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5,502</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West Virginia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1,084</w:t>
            </w: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924</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b/>
                <w:bCs/>
                <w:sz w:val="20"/>
                <w:szCs w:val="20"/>
              </w:rPr>
            </w:pPr>
            <w:r>
              <w:rPr>
                <w:rFonts w:ascii="MS Sans Serif" w:hAnsi="MS Sans Serif"/>
                <w:b/>
                <w:bCs/>
                <w:sz w:val="20"/>
                <w:szCs w:val="20"/>
              </w:rPr>
              <w:t>Canvasback</w:t>
            </w: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Connecticut</w:t>
            </w: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2,787</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1,336</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Delaware</w:t>
            </w: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1,089</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392</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Florida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1,184</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8,816</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3,959</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Georgia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1,855</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7,773</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3,422</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Maine</w:t>
            </w: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5,526</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1,199</w:t>
            </w:r>
          </w:p>
        </w:tc>
      </w:tr>
      <w:tr w:rsidR="002C199C" w:rsidTr="002C199C">
        <w:trPr>
          <w:trHeight w:val="240"/>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Maryland</w:t>
            </w: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71,647</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36,790</w:t>
            </w:r>
          </w:p>
        </w:tc>
      </w:tr>
      <w:tr w:rsidR="002C199C" w:rsidTr="002C199C">
        <w:trPr>
          <w:trHeight w:val="240"/>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Massachusetts</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519</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901</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518</w:t>
            </w:r>
          </w:p>
        </w:tc>
      </w:tr>
      <w:tr w:rsidR="002C199C" w:rsidTr="002C199C">
        <w:trPr>
          <w:trHeight w:val="240"/>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New Jersey</w:t>
            </w: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3,450</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1,694</w:t>
            </w:r>
          </w:p>
        </w:tc>
      </w:tr>
      <w:tr w:rsidR="002C199C" w:rsidTr="002C199C">
        <w:trPr>
          <w:trHeight w:val="240"/>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New York</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3,236</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9,386</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5,549</w:t>
            </w:r>
          </w:p>
        </w:tc>
      </w:tr>
      <w:tr w:rsidR="002C199C" w:rsidTr="002C199C">
        <w:trPr>
          <w:trHeight w:val="240"/>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North Carolina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2,824</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9,359</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4,741</w:t>
            </w:r>
          </w:p>
        </w:tc>
      </w:tr>
      <w:tr w:rsidR="002C199C" w:rsidTr="002C199C">
        <w:trPr>
          <w:trHeight w:val="240"/>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Pennsylvania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2,782</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1,549</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1,262</w:t>
            </w:r>
          </w:p>
        </w:tc>
      </w:tr>
      <w:tr w:rsidR="002C199C" w:rsidTr="002C199C">
        <w:trPr>
          <w:trHeight w:val="240"/>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Rhode Island</w:t>
            </w: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1,283</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662</w:t>
            </w:r>
          </w:p>
        </w:tc>
      </w:tr>
      <w:tr w:rsidR="002C199C" w:rsidTr="002C199C">
        <w:trPr>
          <w:trHeight w:val="240"/>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South Carolina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2,255</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4,096</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2,392</w:t>
            </w:r>
          </w:p>
        </w:tc>
      </w:tr>
      <w:tr w:rsidR="002C199C" w:rsidTr="002C199C">
        <w:trPr>
          <w:trHeight w:val="240"/>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Vermont</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549</w:t>
            </w: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302</w:t>
            </w:r>
          </w:p>
        </w:tc>
      </w:tr>
      <w:tr w:rsidR="002C199C" w:rsidTr="002C199C">
        <w:trPr>
          <w:trHeight w:val="240"/>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Virginia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1,461</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19,688</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9,699</w:t>
            </w:r>
          </w:p>
        </w:tc>
      </w:tr>
      <w:tr w:rsidR="002C199C" w:rsidTr="002C199C">
        <w:trPr>
          <w:trHeight w:val="240"/>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West Virginia</w:t>
            </w: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989</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474</w:t>
            </w:r>
          </w:p>
        </w:tc>
      </w:tr>
      <w:tr w:rsidR="002C199C" w:rsidTr="002C199C">
        <w:trPr>
          <w:trHeight w:val="240"/>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r>
      <w:tr w:rsidR="002C199C" w:rsidTr="002C199C">
        <w:trPr>
          <w:trHeight w:val="240"/>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r>
      <w:tr w:rsidR="002C199C" w:rsidTr="002C199C">
        <w:trPr>
          <w:trHeight w:val="240"/>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b/>
                <w:bCs/>
                <w:sz w:val="20"/>
                <w:szCs w:val="20"/>
              </w:rPr>
            </w:pPr>
            <w:r>
              <w:rPr>
                <w:rFonts w:ascii="MS Sans Serif" w:hAnsi="MS Sans Serif"/>
                <w:b/>
                <w:bCs/>
                <w:sz w:val="20"/>
                <w:szCs w:val="20"/>
              </w:rPr>
              <w:t>Gadwall</w:t>
            </w: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r>
      <w:tr w:rsidR="002C199C" w:rsidTr="002C199C">
        <w:trPr>
          <w:trHeight w:val="240"/>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Connecticut</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520</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1,411</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769</w:t>
            </w:r>
          </w:p>
        </w:tc>
      </w:tr>
      <w:tr w:rsidR="002C199C" w:rsidTr="002C199C">
        <w:trPr>
          <w:trHeight w:val="240"/>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Delaware</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5,702</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6,523</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6,023</w:t>
            </w:r>
          </w:p>
        </w:tc>
      </w:tr>
      <w:tr w:rsidR="002C199C" w:rsidTr="002C199C">
        <w:trPr>
          <w:trHeight w:val="240"/>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Florida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4,342</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4,066</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3,496</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Georgia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4,609</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16,628</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9,775</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Maine</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477</w:t>
            </w: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240</w:t>
            </w:r>
          </w:p>
        </w:tc>
      </w:tr>
      <w:tr w:rsidR="002C199C" w:rsidTr="002C199C">
        <w:trPr>
          <w:trHeight w:val="240"/>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Maryland</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8,109</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14,006</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11,002</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Massachusetts</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901</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457</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443</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New Hampshire</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223</w:t>
            </w: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109</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New Jersey</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1,236</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2,324</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1,745</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lastRenderedPageBreak/>
              <w:t>New York</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7,659</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3,233</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5,273</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North Carolina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10,836</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38,464</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24,284</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Pennsylvania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6,751</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2,944</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4,732</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Rhode Island</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243</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1,041</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595</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South Carolina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6,673</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18,795</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12,363</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Vermont</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426</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204</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210</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Virginia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5,538</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33,703</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19,922</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West Virginia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235</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256</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151</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b/>
                <w:bCs/>
                <w:sz w:val="20"/>
                <w:szCs w:val="20"/>
              </w:rPr>
            </w:pPr>
            <w:r>
              <w:rPr>
                <w:rFonts w:ascii="MS Sans Serif" w:hAnsi="MS Sans Serif"/>
                <w:b/>
                <w:bCs/>
                <w:sz w:val="20"/>
                <w:szCs w:val="20"/>
              </w:rPr>
              <w:t>Mallard</w:t>
            </w: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Connecticut</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24,866</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39,086</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30,919</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Delaware</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24,951</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61,793</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41,291</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Florida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1,495</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3,146</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1,799</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Georgia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9,986</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47,162</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27,959</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Maine</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45,683</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10,583</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28,896</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Maryland</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98,430</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204,330</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146,500</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Massachusetts</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24,637</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18,672</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21,159</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New Hampshire</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21,230</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7,704</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14,589</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New Jersey</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44,086</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45,659</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44,060</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New York</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289,546</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149,837</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218,663</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North Carolina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49,751</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150,670</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95,654</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Pennsylvania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226,546</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188,306</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204,640</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Rhode Island</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2,495</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7,322</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4,637</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South Carolina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24,036</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113,115</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64,757</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Vermont</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40,139</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5,512</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23,659</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Virginia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49,868</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193,374</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114,502</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West Virginia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3,165</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9,893</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6,163</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b/>
                <w:bCs/>
                <w:sz w:val="20"/>
                <w:szCs w:val="20"/>
              </w:rPr>
            </w:pPr>
            <w:r>
              <w:rPr>
                <w:rFonts w:ascii="MS Sans Serif" w:hAnsi="MS Sans Serif"/>
                <w:b/>
                <w:bCs/>
                <w:sz w:val="20"/>
                <w:szCs w:val="20"/>
              </w:rPr>
              <w:t>Northern Pintail</w:t>
            </w: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Connecticut</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1,209</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1,235</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773</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Delaware</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15,844</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12,518</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13,445</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Florida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11,515</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26,272</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15,828</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Georgia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2,933</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5,571</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2,535</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Maine</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3,828</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1,169</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2,271</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Maryland</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12,184</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23,431</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16,760</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Massachusetts</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654</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1,440</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739</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New Hampshire</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938</w:t>
            </w: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533</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New Jersey</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6,236</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7,056</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6,296</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New York</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31,907</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4,743</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19,834</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North Carolina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15,625</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61,756</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31,657</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Pennsylvania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5,327</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5,909</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4,067</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Rhode Island</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389</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649</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301</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South Carolina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3,721</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14,377</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6,427</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Vermont</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3,855</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659</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2,082</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Virginia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3,362</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18,413</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8,646</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West Virginia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117</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502</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169</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b/>
                <w:bCs/>
                <w:sz w:val="20"/>
                <w:szCs w:val="20"/>
              </w:rPr>
            </w:pPr>
            <w:r>
              <w:rPr>
                <w:rFonts w:ascii="MS Sans Serif" w:hAnsi="MS Sans Serif"/>
                <w:b/>
                <w:bCs/>
                <w:sz w:val="20"/>
                <w:szCs w:val="20"/>
              </w:rPr>
              <w:t xml:space="preserve">Northern </w:t>
            </w:r>
            <w:proofErr w:type="spellStart"/>
            <w:r>
              <w:rPr>
                <w:rFonts w:ascii="MS Sans Serif" w:hAnsi="MS Sans Serif"/>
                <w:b/>
                <w:bCs/>
                <w:sz w:val="20"/>
                <w:szCs w:val="20"/>
              </w:rPr>
              <w:t>Shoveler</w:t>
            </w:r>
            <w:proofErr w:type="spellEnd"/>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Delaware</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11,555</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10,816</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11,143</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Florida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21,067</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49,190</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33,845</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lastRenderedPageBreak/>
              <w:t>Georgia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4,372</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10,856</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6,078</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Maine</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648</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1,116</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547</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Maryland</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5,438</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7,603</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5,715</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Massachusetts</w:t>
            </w: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764</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368</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New Jersey</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1,920</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4,691</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2,961</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New York</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5,628</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3,367</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3,977</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North Carolina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11,740</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24,834</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17,791</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Pennsylvania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3,629</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2,821</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2,366</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Rhode Island</w:t>
            </w: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395</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196</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South Carolina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5,700</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25,261</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14,761</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Vermont</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885</w:t>
            </w: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470</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Virginia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4,685</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6,998</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5,005</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b/>
                <w:bCs/>
                <w:sz w:val="20"/>
                <w:szCs w:val="20"/>
              </w:rPr>
            </w:pPr>
            <w:r>
              <w:rPr>
                <w:rFonts w:ascii="MS Sans Serif" w:hAnsi="MS Sans Serif"/>
                <w:b/>
                <w:bCs/>
                <w:sz w:val="20"/>
                <w:szCs w:val="20"/>
              </w:rPr>
              <w:t>Redhead</w:t>
            </w: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Connecticut</w:t>
            </w: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6,258</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1,400</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Delaware</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1,006</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2,223</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713</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Florida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6,298</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15,841</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7,768</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Georgia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2,703</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17,277</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4,362</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Maryland</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3,908</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14,568</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4,741</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Massachusetts</w:t>
            </w: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737</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220</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New Jersey</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465</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8,803</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2,442</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New York</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2,590</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39,156</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13,111</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North Carolina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1,514</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41,149</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12,334</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Pennsylvania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3,448</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7,743</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2,804</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Rhode Island</w:t>
            </w: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869</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233</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South Carolina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1,800</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14,194</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4,448</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Vermont</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295</w:t>
            </w: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216</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Virginia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1,505</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20,141</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5,812</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West Virginia</w:t>
            </w: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784</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192</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b/>
                <w:bCs/>
                <w:sz w:val="20"/>
                <w:szCs w:val="20"/>
              </w:rPr>
            </w:pPr>
            <w:r>
              <w:rPr>
                <w:rFonts w:ascii="MS Sans Serif" w:hAnsi="MS Sans Serif"/>
                <w:b/>
                <w:bCs/>
                <w:sz w:val="20"/>
                <w:szCs w:val="20"/>
              </w:rPr>
              <w:t>Ring-necked Duck</w:t>
            </w: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Connecticut</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1,167</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1,435</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1,000</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Delaware</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2,709</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2,748</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2,196</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Florida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102,045</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286,891</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185,692</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Georgia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23,756</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70,760</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45,545</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Maine</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5,581</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531</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3,071</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Maryland</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5,750</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15,342</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9,539</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Massachusetts</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1,001</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955</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791</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New Hampshire</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1,585</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334</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848</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New Jersey</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1,713</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2,551</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1,998</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New York</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23,148</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2,730</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13,663</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North Carolina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24,591</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100,013</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58,581</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Pennsylvania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9,926</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4,778</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7,046</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Rhode Island</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295</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230</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171</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South Carolina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28,518</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100,986</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60,893</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Vermont</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3,569</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325</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1,990</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Virginia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13,832</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75,718</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42,225</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West Virginia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428</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474</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278</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b/>
                <w:bCs/>
                <w:sz w:val="20"/>
                <w:szCs w:val="20"/>
              </w:rPr>
            </w:pPr>
            <w:r>
              <w:rPr>
                <w:rFonts w:ascii="MS Sans Serif" w:hAnsi="MS Sans Serif"/>
                <w:b/>
                <w:bCs/>
                <w:sz w:val="20"/>
                <w:szCs w:val="20"/>
              </w:rPr>
              <w:t>Ruddy Duck</w:t>
            </w: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Connecticut</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7,787</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8,314</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5,501</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Delaware</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11,458</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14,709</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8,559</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Florida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28,832</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142,839</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65,550</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Georgia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35,355</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74,628</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29,931</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Maine</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5,903</w:t>
            </w: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3,683</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Maryland</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31,490</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85,949</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50,685</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Massachusetts</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3,775</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2,164</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1,781</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New Hampshire</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3,309</w:t>
            </w: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1,437</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New Jersey</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26,991</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22,672</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23,015</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New York</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11,214</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14,922</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7,966</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North Carolina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54,912</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204,045</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120,544</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Pennsylvania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57,727</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22,638</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36,498</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Rhode Island</w:t>
            </w: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4,714</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1,818</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South Carolina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15,004</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13,958</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7,064</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Vermont</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10,771</w:t>
            </w: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5,256</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Virginia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18,294</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55,927</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25,535</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West Virginia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3,478</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2,981</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1,530</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r>
      <w:tr w:rsidR="002C199C" w:rsidTr="002C199C">
        <w:trPr>
          <w:trHeight w:val="300"/>
        </w:trPr>
        <w:tc>
          <w:tcPr>
            <w:tcW w:w="4182" w:type="dxa"/>
            <w:gridSpan w:val="2"/>
            <w:tcBorders>
              <w:top w:val="nil"/>
              <w:left w:val="nil"/>
              <w:bottom w:val="nil"/>
              <w:right w:val="nil"/>
            </w:tcBorders>
            <w:shd w:val="clear" w:color="auto" w:fill="auto"/>
            <w:noWrap/>
            <w:vAlign w:val="bottom"/>
            <w:hideMark/>
          </w:tcPr>
          <w:p w:rsidR="002C199C" w:rsidRDefault="002C199C">
            <w:pPr>
              <w:rPr>
                <w:rFonts w:ascii="Calibri" w:hAnsi="Calibri"/>
                <w:b/>
                <w:bCs/>
                <w:color w:val="000000"/>
                <w:sz w:val="22"/>
                <w:szCs w:val="22"/>
              </w:rPr>
            </w:pPr>
            <w:proofErr w:type="spellStart"/>
            <w:r>
              <w:rPr>
                <w:rFonts w:ascii="Calibri" w:hAnsi="Calibri"/>
                <w:b/>
                <w:bCs/>
                <w:color w:val="000000"/>
                <w:sz w:val="22"/>
                <w:szCs w:val="22"/>
              </w:rPr>
              <w:t>Scaup</w:t>
            </w:r>
            <w:proofErr w:type="spellEnd"/>
            <w:r>
              <w:rPr>
                <w:rFonts w:ascii="Calibri" w:hAnsi="Calibri"/>
                <w:b/>
                <w:bCs/>
                <w:color w:val="000000"/>
                <w:sz w:val="22"/>
                <w:szCs w:val="22"/>
              </w:rPr>
              <w:t xml:space="preserve"> (Lesser &amp; Greater Combined)</w:t>
            </w: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Connecticut</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976</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11,652</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5,457</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Delaware</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7,303</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10,377</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6,899</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Florida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70,613</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266,380</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162,480</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Georgia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21,254</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59,847</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36,480</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Maine</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8,815</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5,454</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5,061</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Maryland</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20,421</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545,682</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259,281</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Massachusetts</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1,706</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4,798</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2,152</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New Hampshire</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2,814</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2,975</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1,952</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New Jersey</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10,181</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65,690</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34,246</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New York</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79,350</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162,491</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114,938</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North Carolina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88,452</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787,986</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408,348</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Pennsylvania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74,957</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47,187</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59,458</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Rhode Island</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1,548</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11,393</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5,498</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South Carolina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22,743</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111,377</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62,599</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Vermont</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10,503</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1,985</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6,079</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Virginia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24,182</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158,704</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83,055</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West Virginia</w:t>
            </w: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1,054</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519</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b/>
                <w:bCs/>
                <w:sz w:val="20"/>
                <w:szCs w:val="20"/>
              </w:rPr>
            </w:pPr>
            <w:r>
              <w:rPr>
                <w:rFonts w:ascii="MS Sans Serif" w:hAnsi="MS Sans Serif"/>
                <w:b/>
                <w:bCs/>
                <w:sz w:val="20"/>
                <w:szCs w:val="20"/>
              </w:rPr>
              <w:t>Wood Duck</w:t>
            </w:r>
          </w:p>
        </w:tc>
        <w:tc>
          <w:tcPr>
            <w:tcW w:w="962"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1175"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c>
          <w:tcPr>
            <w:tcW w:w="963"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Connecticut</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19,024</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2,438</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12,125</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Delaware</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23,977</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7,489</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17,213</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Florida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34,462</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69,189</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48,196</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Georgia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102,036</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480,893</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255,652</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Maine</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38,703</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1,243</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23,055</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Maryland</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72,472</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13,837</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48,739</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Massachusetts</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18,667</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621</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11,204</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New Hampshire</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25,519</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512</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15,198</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New Jersey</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30,732</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1,532</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18,773</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lastRenderedPageBreak/>
              <w:t>New York</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145,961</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4,538</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88,397</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North Carolina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201,783</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358,773</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265,523</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Pennsylvania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247,925</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7,512</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151,540</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Rhode Island</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2,178</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448</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1,369</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South Carolina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113,230</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563,723</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293,592</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Vermont</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21,672</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530</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12,843</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Virginia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87,434</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52,242</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72,894</w:t>
            </w:r>
          </w:p>
        </w:tc>
      </w:tr>
      <w:tr w:rsidR="002C199C" w:rsidTr="002C199C">
        <w:trPr>
          <w:trHeight w:val="255"/>
        </w:trPr>
        <w:tc>
          <w:tcPr>
            <w:tcW w:w="3220" w:type="dxa"/>
            <w:tcBorders>
              <w:top w:val="nil"/>
              <w:left w:val="nil"/>
              <w:bottom w:val="nil"/>
              <w:right w:val="nil"/>
            </w:tcBorders>
            <w:shd w:val="clear" w:color="auto" w:fill="auto"/>
            <w:noWrap/>
            <w:vAlign w:val="bottom"/>
            <w:hideMark/>
          </w:tcPr>
          <w:p w:rsidR="002C199C" w:rsidRDefault="002C199C">
            <w:pPr>
              <w:rPr>
                <w:rFonts w:ascii="MS Sans Serif" w:hAnsi="MS Sans Serif"/>
                <w:sz w:val="20"/>
                <w:szCs w:val="20"/>
              </w:rPr>
            </w:pPr>
            <w:r>
              <w:rPr>
                <w:rFonts w:ascii="MS Sans Serif" w:hAnsi="MS Sans Serif"/>
                <w:sz w:val="20"/>
                <w:szCs w:val="20"/>
              </w:rPr>
              <w:t>West Virginia</w:t>
            </w:r>
          </w:p>
        </w:tc>
        <w:tc>
          <w:tcPr>
            <w:tcW w:w="962"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11,442</w:t>
            </w:r>
          </w:p>
        </w:tc>
        <w:tc>
          <w:tcPr>
            <w:tcW w:w="1175"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791</w:t>
            </w:r>
          </w:p>
        </w:tc>
        <w:tc>
          <w:tcPr>
            <w:tcW w:w="963" w:type="dxa"/>
            <w:tcBorders>
              <w:top w:val="nil"/>
              <w:left w:val="nil"/>
              <w:bottom w:val="nil"/>
              <w:right w:val="nil"/>
            </w:tcBorders>
            <w:shd w:val="clear" w:color="auto" w:fill="auto"/>
            <w:noWrap/>
            <w:vAlign w:val="bottom"/>
            <w:hideMark/>
          </w:tcPr>
          <w:p w:rsidR="002C199C" w:rsidRDefault="002C199C">
            <w:pPr>
              <w:jc w:val="right"/>
              <w:rPr>
                <w:rFonts w:ascii="MS Sans Serif" w:hAnsi="MS Sans Serif"/>
                <w:sz w:val="20"/>
                <w:szCs w:val="20"/>
              </w:rPr>
            </w:pPr>
            <w:r>
              <w:rPr>
                <w:rFonts w:ascii="MS Sans Serif" w:hAnsi="MS Sans Serif"/>
                <w:sz w:val="20"/>
                <w:szCs w:val="20"/>
              </w:rPr>
              <w:t>7,043</w:t>
            </w:r>
          </w:p>
        </w:tc>
      </w:tr>
    </w:tbl>
    <w:p w:rsidR="002C199C" w:rsidRDefault="002C199C" w:rsidP="002C199C"/>
    <w:p w:rsidR="00470B8C" w:rsidRDefault="002C199C">
      <w:r>
        <w:t>The next step in this process will be to develop</w:t>
      </w:r>
      <w:r w:rsidRPr="002C199C">
        <w:t xml:space="preserve"> habitat conservation objectives</w:t>
      </w:r>
      <w:r>
        <w:t xml:space="preserve"> (acres needed to support these population objectives)</w:t>
      </w:r>
      <w:r w:rsidRPr="002C199C">
        <w:t xml:space="preserve"> would be an assessment of season-long use of regional habitats by waterfowl including birds stopping during migration, but subsequently leaving the region of interest.  This total season long assessment can be represented as waterfowl “use-days” or “duck energy days”.</w:t>
      </w:r>
      <w:r w:rsidR="00473E6D">
        <w:t xml:space="preserve">  The ACJV </w:t>
      </w:r>
      <w:proofErr w:type="spellStart"/>
      <w:r w:rsidR="00473E6D">
        <w:t>Gamebird</w:t>
      </w:r>
      <w:proofErr w:type="spellEnd"/>
      <w:r w:rsidR="00473E6D">
        <w:t xml:space="preserve"> Technical Committee has started but not completed this important step.</w:t>
      </w:r>
      <w:bookmarkStart w:id="0" w:name="_GoBack"/>
      <w:bookmarkEnd w:id="0"/>
    </w:p>
    <w:sectPr w:rsidR="00470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ans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29FF"/>
    <w:multiLevelType w:val="hybridMultilevel"/>
    <w:tmpl w:val="8F9AA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9C"/>
    <w:rsid w:val="002C199C"/>
    <w:rsid w:val="00470B8C"/>
    <w:rsid w:val="00473E6D"/>
    <w:rsid w:val="00BD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99C"/>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semiHidden/>
    <w:unhideWhenUsed/>
    <w:rsid w:val="002C199C"/>
    <w:rPr>
      <w:color w:val="0000FF"/>
      <w:u w:val="single"/>
    </w:rPr>
  </w:style>
  <w:style w:type="character" w:styleId="FollowedHyperlink">
    <w:name w:val="FollowedHyperlink"/>
    <w:basedOn w:val="DefaultParagraphFont"/>
    <w:uiPriority w:val="99"/>
    <w:semiHidden/>
    <w:unhideWhenUsed/>
    <w:rsid w:val="002C199C"/>
    <w:rPr>
      <w:color w:val="800080"/>
      <w:u w:val="single"/>
    </w:rPr>
  </w:style>
  <w:style w:type="paragraph" w:customStyle="1" w:styleId="xl66">
    <w:name w:val="xl66"/>
    <w:basedOn w:val="Normal"/>
    <w:rsid w:val="002C199C"/>
    <w:pPr>
      <w:spacing w:before="100" w:beforeAutospacing="1" w:after="100" w:afterAutospacing="1"/>
    </w:pPr>
    <w:rPr>
      <w:rFonts w:ascii="MS Sans Serif" w:hAnsi="MS Sans Serif"/>
    </w:rPr>
  </w:style>
  <w:style w:type="paragraph" w:customStyle="1" w:styleId="xl67">
    <w:name w:val="xl67"/>
    <w:basedOn w:val="Normal"/>
    <w:rsid w:val="002C199C"/>
    <w:pPr>
      <w:spacing w:before="100" w:beforeAutospacing="1" w:after="100" w:afterAutospacing="1"/>
    </w:pPr>
    <w:rPr>
      <w:rFonts w:ascii="MS Sans Serif" w:hAnsi="MS Sans Serif"/>
      <w:b/>
      <w:bCs/>
    </w:rPr>
  </w:style>
  <w:style w:type="paragraph" w:customStyle="1" w:styleId="xl68">
    <w:name w:val="xl68"/>
    <w:basedOn w:val="Normal"/>
    <w:rsid w:val="002C199C"/>
    <w:pPr>
      <w:spacing w:before="100" w:beforeAutospacing="1" w:after="100" w:afterAutospacing="1"/>
    </w:pPr>
    <w:rPr>
      <w:rFonts w:ascii="Calibri" w:hAnsi="Calibri"/>
      <w:b/>
      <w:bCs/>
      <w:color w:val="000000"/>
      <w:sz w:val="22"/>
      <w:szCs w:val="22"/>
    </w:rPr>
  </w:style>
  <w:style w:type="paragraph" w:customStyle="1" w:styleId="xl69">
    <w:name w:val="xl69"/>
    <w:basedOn w:val="Normal"/>
    <w:rsid w:val="002C199C"/>
    <w:pPr>
      <w:pBdr>
        <w:bottom w:val="single" w:sz="12" w:space="0" w:color="auto"/>
      </w:pBdr>
      <w:spacing w:before="100" w:beforeAutospacing="1" w:after="100" w:afterAutospacing="1"/>
    </w:pPr>
    <w:rPr>
      <w:rFonts w:ascii="MS Sans Serif" w:hAnsi="MS Sans Serif"/>
      <w:b/>
      <w:bCs/>
      <w:color w:val="000000"/>
    </w:rPr>
  </w:style>
  <w:style w:type="paragraph" w:customStyle="1" w:styleId="xl70">
    <w:name w:val="xl70"/>
    <w:basedOn w:val="Normal"/>
    <w:rsid w:val="002C199C"/>
    <w:pPr>
      <w:pBdr>
        <w:bottom w:val="single" w:sz="12" w:space="0" w:color="auto"/>
      </w:pBdr>
      <w:spacing w:before="100" w:beforeAutospacing="1" w:after="100" w:afterAutospacing="1"/>
    </w:pPr>
    <w:rPr>
      <w:rFonts w:ascii="MS Sans Serif" w:hAnsi="MS Sans Serif"/>
      <w:b/>
      <w:bCs/>
    </w:rPr>
  </w:style>
  <w:style w:type="paragraph" w:customStyle="1" w:styleId="xl71">
    <w:name w:val="xl71"/>
    <w:basedOn w:val="Normal"/>
    <w:rsid w:val="002C199C"/>
    <w:pPr>
      <w:pBdr>
        <w:top w:val="single" w:sz="12" w:space="0" w:color="auto"/>
      </w:pBdr>
      <w:spacing w:before="100" w:beforeAutospacing="1" w:after="100" w:afterAutospacing="1"/>
    </w:pPr>
    <w:rPr>
      <w:rFonts w:ascii="MS Sans Serif" w:hAnsi="MS Sans Serif"/>
      <w:b/>
      <w:bCs/>
      <w:color w:val="000000"/>
    </w:rPr>
  </w:style>
  <w:style w:type="paragraph" w:customStyle="1" w:styleId="xl72">
    <w:name w:val="xl72"/>
    <w:basedOn w:val="Normal"/>
    <w:rsid w:val="002C199C"/>
    <w:pPr>
      <w:spacing w:before="100" w:beforeAutospacing="1" w:after="100" w:afterAutospacing="1"/>
      <w:jc w:val="center"/>
    </w:pPr>
    <w:rPr>
      <w:rFonts w:ascii="MS Sans Serif" w:hAnsi="MS Sans Serif"/>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99C"/>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semiHidden/>
    <w:unhideWhenUsed/>
    <w:rsid w:val="002C199C"/>
    <w:rPr>
      <w:color w:val="0000FF"/>
      <w:u w:val="single"/>
    </w:rPr>
  </w:style>
  <w:style w:type="character" w:styleId="FollowedHyperlink">
    <w:name w:val="FollowedHyperlink"/>
    <w:basedOn w:val="DefaultParagraphFont"/>
    <w:uiPriority w:val="99"/>
    <w:semiHidden/>
    <w:unhideWhenUsed/>
    <w:rsid w:val="002C199C"/>
    <w:rPr>
      <w:color w:val="800080"/>
      <w:u w:val="single"/>
    </w:rPr>
  </w:style>
  <w:style w:type="paragraph" w:customStyle="1" w:styleId="xl66">
    <w:name w:val="xl66"/>
    <w:basedOn w:val="Normal"/>
    <w:rsid w:val="002C199C"/>
    <w:pPr>
      <w:spacing w:before="100" w:beforeAutospacing="1" w:after="100" w:afterAutospacing="1"/>
    </w:pPr>
    <w:rPr>
      <w:rFonts w:ascii="MS Sans Serif" w:hAnsi="MS Sans Serif"/>
    </w:rPr>
  </w:style>
  <w:style w:type="paragraph" w:customStyle="1" w:styleId="xl67">
    <w:name w:val="xl67"/>
    <w:basedOn w:val="Normal"/>
    <w:rsid w:val="002C199C"/>
    <w:pPr>
      <w:spacing w:before="100" w:beforeAutospacing="1" w:after="100" w:afterAutospacing="1"/>
    </w:pPr>
    <w:rPr>
      <w:rFonts w:ascii="MS Sans Serif" w:hAnsi="MS Sans Serif"/>
      <w:b/>
      <w:bCs/>
    </w:rPr>
  </w:style>
  <w:style w:type="paragraph" w:customStyle="1" w:styleId="xl68">
    <w:name w:val="xl68"/>
    <w:basedOn w:val="Normal"/>
    <w:rsid w:val="002C199C"/>
    <w:pPr>
      <w:spacing w:before="100" w:beforeAutospacing="1" w:after="100" w:afterAutospacing="1"/>
    </w:pPr>
    <w:rPr>
      <w:rFonts w:ascii="Calibri" w:hAnsi="Calibri"/>
      <w:b/>
      <w:bCs/>
      <w:color w:val="000000"/>
      <w:sz w:val="22"/>
      <w:szCs w:val="22"/>
    </w:rPr>
  </w:style>
  <w:style w:type="paragraph" w:customStyle="1" w:styleId="xl69">
    <w:name w:val="xl69"/>
    <w:basedOn w:val="Normal"/>
    <w:rsid w:val="002C199C"/>
    <w:pPr>
      <w:pBdr>
        <w:bottom w:val="single" w:sz="12" w:space="0" w:color="auto"/>
      </w:pBdr>
      <w:spacing w:before="100" w:beforeAutospacing="1" w:after="100" w:afterAutospacing="1"/>
    </w:pPr>
    <w:rPr>
      <w:rFonts w:ascii="MS Sans Serif" w:hAnsi="MS Sans Serif"/>
      <w:b/>
      <w:bCs/>
      <w:color w:val="000000"/>
    </w:rPr>
  </w:style>
  <w:style w:type="paragraph" w:customStyle="1" w:styleId="xl70">
    <w:name w:val="xl70"/>
    <w:basedOn w:val="Normal"/>
    <w:rsid w:val="002C199C"/>
    <w:pPr>
      <w:pBdr>
        <w:bottom w:val="single" w:sz="12" w:space="0" w:color="auto"/>
      </w:pBdr>
      <w:spacing w:before="100" w:beforeAutospacing="1" w:after="100" w:afterAutospacing="1"/>
    </w:pPr>
    <w:rPr>
      <w:rFonts w:ascii="MS Sans Serif" w:hAnsi="MS Sans Serif"/>
      <w:b/>
      <w:bCs/>
    </w:rPr>
  </w:style>
  <w:style w:type="paragraph" w:customStyle="1" w:styleId="xl71">
    <w:name w:val="xl71"/>
    <w:basedOn w:val="Normal"/>
    <w:rsid w:val="002C199C"/>
    <w:pPr>
      <w:pBdr>
        <w:top w:val="single" w:sz="12" w:space="0" w:color="auto"/>
      </w:pBdr>
      <w:spacing w:before="100" w:beforeAutospacing="1" w:after="100" w:afterAutospacing="1"/>
    </w:pPr>
    <w:rPr>
      <w:rFonts w:ascii="MS Sans Serif" w:hAnsi="MS Sans Serif"/>
      <w:b/>
      <w:bCs/>
      <w:color w:val="000000"/>
    </w:rPr>
  </w:style>
  <w:style w:type="paragraph" w:customStyle="1" w:styleId="xl72">
    <w:name w:val="xl72"/>
    <w:basedOn w:val="Normal"/>
    <w:rsid w:val="002C199C"/>
    <w:pPr>
      <w:spacing w:before="100" w:beforeAutospacing="1" w:after="100" w:afterAutospacing="1"/>
      <w:jc w:val="center"/>
    </w:pPr>
    <w:rPr>
      <w:rFonts w:ascii="MS Sans Serif" w:hAnsi="MS Sans Serif"/>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05623">
      <w:bodyDiv w:val="1"/>
      <w:marLeft w:val="0"/>
      <w:marRight w:val="0"/>
      <w:marTop w:val="0"/>
      <w:marBottom w:val="0"/>
      <w:divBdr>
        <w:top w:val="none" w:sz="0" w:space="0" w:color="auto"/>
        <w:left w:val="none" w:sz="0" w:space="0" w:color="auto"/>
        <w:bottom w:val="none" w:sz="0" w:space="0" w:color="auto"/>
        <w:right w:val="none" w:sz="0" w:space="0" w:color="auto"/>
      </w:divBdr>
    </w:div>
    <w:div w:id="73636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Tim</dc:creator>
  <cp:lastModifiedBy>Jones, Tim</cp:lastModifiedBy>
  <cp:revision>1</cp:revision>
  <dcterms:created xsi:type="dcterms:W3CDTF">2013-08-30T15:32:00Z</dcterms:created>
  <dcterms:modified xsi:type="dcterms:W3CDTF">2013-08-30T15:43:00Z</dcterms:modified>
</cp:coreProperties>
</file>